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50"/>
    <w:p>
      <w:pPr>
        <w:pStyle w:val="Heading1"/>
      </w:pPr>
      <w:r>
        <w:t xml:space="preserve">Homiletics Analysis: Isaiah 50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50 is the third of the four Servant Songs (52:13–53:12 being the fourth), and it presents the Servant of the LORD speaking in first person, describing both His commissioning and His suffering. The chapter opens with two rhetorical questions (vv. 1–3) in which the LORD addresses Israel’s complaint of abandonment: the nation’s exile is not the result of any failure on God’s part — He issued no divorce certificate, He sold no one into permanent slavery. The fault lies with Israel’s own iniquities. The LORD’s capacity to redeem has not diminished: He can dry up the sea, He can darken the sky, He is not impotent. The shift in verses 4–9 is decisive and abrupt — the Servant Himself speaks, identifying Himself as the one who has been given an instructed tongue to sustain the weary, who is awakened morning by morning to hear the LORD’s word, who set His face toward suffering rather than retreat, offering His back to those who strike, His cheeks to those who pull out the beard, His face to disgrace. The Servant does not resist because He does not go alone — the LORD God helps Him, and therefore the disgrace does not shame Him. The chapter closes (vv. 10–11) with a bifurcated address to two groups: those who fear the LORD and walk in darkness (who are called to trust in the name of the LORD and lean on their God), and those who kindle their own fires (who are warned that they will lie down in torment). The entire chapter thus moves from Israel’s failure and God’s faithfulness (vv. 1–3), through the Servant’s obedient endurance grounded in divine help (vv. 4–9), to a call for the reader to align with the Servant’s posture rather than forge their own path (vv. 10–11).</w:t>
      </w:r>
    </w:p>
    <w:p>
      <w:pPr>
        <w:pStyle w:val="BodyText"/>
      </w:pPr>
      <w:r>
        <w:rPr>
          <w:b/>
          <w:bCs/>
        </w:rPr>
        <w:t xml:space="preserve">This Text — Intent</w:t>
      </w:r>
    </w:p>
    <w:p>
      <w:pPr>
        <w:pStyle w:val="BodyText"/>
      </w:pPr>
      <w:r>
        <w:t xml:space="preserve">God is doing more than explaining the Servant’s suffering or defending His own faithfulness. Through this chapter He is confronting every reader who walks in spiritual darkness with a decisive choice: will you trust the Servant who walks in darkness upheld by God, or will you light your own fire and walk by your own light? The intent is not merely informational — it is a summons to a specific posture of dependent trust in a God who has already demonstrated His commitment through the Servant’s obedience. The chapter aims to transfer the reader from self-sufficient fire-kindling to the Servant’s own pattern: hearing, obeying, suffering if necessary, and trusting that the LORD God helps.</w:t>
      </w:r>
    </w:p>
    <w:p>
      <w:r>
        <w:pict>
          <v:rect style="width:0;height:1.5pt" o:hralign="center" o:hrstd="t" o:hr="t"/>
        </w:pict>
      </w:r>
    </w:p>
    <w:p>
      <w:pPr>
        <w:pStyle w:val="FirstParagraph"/>
      </w:pPr>
      <w:r>
        <w:rPr>
          <w:b/>
          <w:bCs/>
        </w:rPr>
        <w:t xml:space="preserve">Subject Sentence:</w:t>
      </w:r>
      <w:r>
        <w:t xml:space="preserve"> </w:t>
      </w:r>
      <w:r>
        <w:t xml:space="preserve">The obedient Servant endures suffering by divine help, calling the fearful to trust and warning the self-sufficient to repent.</w:t>
      </w:r>
    </w:p>
    <w:p>
      <w:r>
        <w:pict>
          <v:rect style="width:0;height:1.5pt" o:hralign="center" o:hrstd="t" o:hr="t"/>
        </w:pict>
      </w:r>
    </w:p>
    <w:p>
      <w:pPr>
        <w:pStyle w:val="FirstParagraph"/>
      </w:pPr>
      <w:r>
        <w:rPr>
          <w:b/>
          <w:bCs/>
        </w:rPr>
        <w:t xml:space="preserve">Primary Claim:</w:t>
      </w:r>
      <w:r>
        <w:t xml:space="preserve"> </w:t>
      </w:r>
      <w:r>
        <w:t xml:space="preserve">God is placing before every reader who walks in darkness a mirror in the Servant — who heard, obeyed, suffered, and was not ashamed — and demanding the same surrender: stop kindling your own fire and trust the God who helps.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Servant</w:t>
      </w:r>
    </w:p>
    <w:p>
      <w:pPr>
        <w:pStyle w:val="BodyText"/>
      </w:pPr>
      <w:r>
        <w:t xml:space="preserve">The central interpretive question in this chapter is the identity of the Servant of verses 4–9. Three main answers have been proposed across traditions: (1) the Servant is the prophet Isaiah himself or a prophetic figure representing the prophetic office; (2) the Servant is Israel as a collective, the ideal covenant people; (3) the Servant is an individual messianic figure, ultimately fulfilled in Jesus Christ.</w:t>
      </w:r>
    </w:p>
    <w:p>
      <w:pPr>
        <w:pStyle w:val="BodyText"/>
      </w:pPr>
      <w:r>
        <w:t xml:space="preserve">The collective-Israel reading has a long history in Jewish interpretation and is initially plausible because Isaiah 41:8 explicitly identifies Jacob/Israel as God’s servant. However, the Servant Songs progressively distinguish the Servant</w:t>
      </w:r>
      <w:r>
        <w:t xml:space="preserve"> </w:t>
      </w:r>
      <w:r>
        <w:rPr>
          <w:i/>
          <w:iCs/>
        </w:rPr>
        <w:t xml:space="preserve">from</w:t>
      </w:r>
      <w:r>
        <w:t xml:space="preserve"> </w:t>
      </w:r>
      <w:r>
        <w:t xml:space="preserve">Israel rather than identifying him</w:t>
      </w:r>
      <w:r>
        <w:t xml:space="preserve"> </w:t>
      </w:r>
      <w:r>
        <w:rPr>
          <w:i/>
          <w:iCs/>
        </w:rPr>
        <w:t xml:space="preserve">with</w:t>
      </w:r>
      <w:r>
        <w:t xml:space="preserve"> </w:t>
      </w:r>
      <w:r>
        <w:t xml:space="preserve">Israel — most sharply in Isaiah 49:5–6, where the Servant’s mission is explicitly</w:t>
      </w:r>
      <w:r>
        <w:t xml:space="preserve"> </w:t>
      </w:r>
      <w:r>
        <w:rPr>
          <w:i/>
          <w:iCs/>
        </w:rPr>
        <w:t xml:space="preserve">to</w:t>
      </w:r>
      <w:r>
        <w:t xml:space="preserve"> </w:t>
      </w:r>
      <w:r>
        <w:t xml:space="preserve">Israel, not</w:t>
      </w:r>
      <w:r>
        <w:t xml:space="preserve"> </w:t>
      </w:r>
      <w:r>
        <w:rPr>
          <w:i/>
          <w:iCs/>
        </w:rPr>
        <w:t xml:space="preserve">as</w:t>
      </w:r>
      <w:r>
        <w:t xml:space="preserve"> </w:t>
      </w:r>
      <w:r>
        <w:t xml:space="preserve">Israel. Isaiah 50 reinforces this distinction: the Servant’s obedience and suffering are presented in stark contrast to Israel’s rebellion described in verses 1–3. The Servant’s suffering is not Israel’s punishment for sin — it is the Servant’s voluntary endurance for the sake of those who have stumbled. The collective-Israel reading must be</w:t>
      </w:r>
      <w:r>
        <w:t xml:space="preserve"> </w:t>
      </w:r>
      <w:r>
        <w:rPr>
          <w:i/>
          <w:iCs/>
        </w:rPr>
        <w:t xml:space="preserve">qualified and ultimately rejected</w:t>
      </w:r>
      <w:r>
        <w:t xml:space="preserve"> </w:t>
      </w:r>
      <w:r>
        <w:t xml:space="preserve">as the primary identification: it accounts for the Servant’s continuity with Israel’s story but not for the Servant’s distinct obedience in contrast to Israel’s failure.</w:t>
      </w:r>
    </w:p>
    <w:p>
      <w:pPr>
        <w:pStyle w:val="BodyText"/>
      </w:pPr>
      <w:r>
        <w:t xml:space="preserve">The prophetic-office reading acknowledges the Servant’s instructed tongue and morning-by-morning hearing as prophetic characteristics. There is genuine insight here —</w:t>
      </w:r>
      <w:r>
        <w:t xml:space="preserve"> </w:t>
      </w:r>
      <w:r>
        <w:rPr>
          <w:i/>
          <w:iCs/>
        </w:rPr>
        <w:t xml:space="preserve">acknowledged</w:t>
      </w:r>
      <w:r>
        <w:t xml:space="preserve">: the Servant’s posture perfectly exemplifies faithful prophetic ministry, and preachers do well to read verses 4–9 as a description of what faithful hearing-and-speaking looks like. But the claims exceed what any prophet could sustain: the Servant’s suffering is endured with a confidence that the LORD God will vindicate</w:t>
      </w:r>
      <w:r>
        <w:t xml:space="preserve"> </w:t>
      </w:r>
      <w:r>
        <w:rPr>
          <w:i/>
          <w:iCs/>
        </w:rPr>
        <w:t xml:space="preserve">against all accusers</w:t>
      </w:r>
      <w:r>
        <w:t xml:space="preserve"> </w:t>
      </w:r>
      <w:r>
        <w:t xml:space="preserve">(vv. 8–9), a vindication language that transcends any individual prophet’s experience.</w:t>
      </w:r>
    </w:p>
    <w:p>
      <w:pPr>
        <w:pStyle w:val="BodyText"/>
      </w:pPr>
      <w:r>
        <w:t xml:space="preserve">The messianic-fulfillment reading, confirmed in the New Testament (Luke 9:51, where Jesus</w:t>
      </w:r>
      <w:r>
        <w:t xml:space="preserve"> </w:t>
      </w:r>
      <w:r>
        <w:t xml:space="preserve">“set His face to go to Jerusalem,”</w:t>
      </w:r>
      <w:r>
        <w:t xml:space="preserve"> </w:t>
      </w:r>
      <w:r>
        <w:t xml:space="preserve">echoing v. 7; Matthew 26–27; John 18–19), best accounts for the whole: a singular figure who hears perfectly, obeys completely, suffers voluntarily, and is vindicated finally. The Reformed reading</w:t>
      </w:r>
      <w:r>
        <w:t xml:space="preserve"> </w:t>
      </w:r>
      <w:r>
        <w:rPr>
          <w:i/>
          <w:iCs/>
        </w:rPr>
        <w:t xml:space="preserve">affirms</w:t>
      </w:r>
      <w:r>
        <w:t xml:space="preserve"> </w:t>
      </w:r>
      <w:r>
        <w:t xml:space="preserve">the messianic identification as primary and ultimate, while acknowledging that the Servant’s posture in verses 4–9 also functions typologically to define what faithful covenant obedience looks like — available as a pattern for the reader, grounded in the Servant’s own prior fulfillment.</w:t>
      </w:r>
    </w:p>
    <w:p>
      <w:pPr>
        <w:pStyle w:val="BodyText"/>
      </w:pPr>
      <w:r>
        <w:rPr>
          <w:b/>
          <w:bCs/>
        </w:rPr>
        <w:t xml:space="preserve">Verses 10–11: Individual or Collective?</w:t>
      </w:r>
    </w:p>
    <w:p>
      <w:pPr>
        <w:pStyle w:val="BodyText"/>
      </w:pPr>
      <w:r>
        <w:t xml:space="preserve">A secondary interpretive question concerns whether the two groups of verses 10–11 are addressed to two classes within Israel, two classes within the community of God’s people more broadly, or two universal postures. Some traditions read these verses as addressing the nation of Israel in its divided state — faithful remnant versus apostate majority. This reading has textual support (the discourse is addressed to</w:t>
      </w:r>
      <w:r>
        <w:t xml:space="preserve"> </w:t>
      </w:r>
      <w:r>
        <w:t xml:space="preserve">“you”</w:t>
      </w:r>
      <w:r>
        <w:t xml:space="preserve"> </w:t>
      </w:r>
      <w:r>
        <w:t xml:space="preserve">who</w:t>
      </w:r>
      <w:r>
        <w:t xml:space="preserve"> </w:t>
      </w:r>
      <w:r>
        <w:t xml:space="preserve">“fear the LORD”</w:t>
      </w:r>
      <w:r>
        <w:t xml:space="preserve"> </w:t>
      </w:r>
      <w:r>
        <w:t xml:space="preserve">— language of covenant), but it does not exclude the universal force of the invitation and warning. The Reformed reading holds both: this is addressed to God’s covenant people first, but the posture of fire-kindling is recognizable in every human heart, and the call to trust is universally applicable to all who walk in any darkness.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42:1–4</w:t>
      </w:r>
      <w:r>
        <w:t xml:space="preserve"> </w:t>
      </w:r>
      <w:r>
        <w:t xml:space="preserve">— The first Servant Song: the Servant is introduced as the LORD’s chosen, endowed with the Spirit, bringing justice gently; establishes the Servant’s divine commissioning that chapter 50 extends and deepens.</w:t>
      </w:r>
    </w:p>
    <w:p>
      <w:pPr>
        <w:numPr>
          <w:ilvl w:val="0"/>
          <w:numId w:val="1001"/>
        </w:numPr>
      </w:pPr>
      <w:r>
        <w:rPr>
          <w:b/>
          <w:bCs/>
        </w:rPr>
        <w:t xml:space="preserve">Isaiah 53:4–7</w:t>
      </w:r>
      <w:r>
        <w:t xml:space="preserve"> </w:t>
      </w:r>
      <w:r>
        <w:t xml:space="preserve">— The fourth Servant Song: the Servant’s suffering of chapter 50 reaches its redemptive climax — the voluntary endurance (He opened not His mouth) fulfills and explains what chapter 50 initiates; chapter 50 is the posture, chapter 53 is the achievement.</w:t>
      </w:r>
    </w:p>
    <w:p>
      <w:pPr>
        <w:numPr>
          <w:ilvl w:val="0"/>
          <w:numId w:val="1001"/>
        </w:numPr>
      </w:pPr>
      <w:r>
        <w:rPr>
          <w:b/>
          <w:bCs/>
        </w:rPr>
        <w:t xml:space="preserve">Luke 9:51</w:t>
      </w:r>
      <w:r>
        <w:t xml:space="preserve"> </w:t>
      </w:r>
      <w:r>
        <w:t xml:space="preserve">—</w:t>
      </w:r>
      <w:r>
        <w:t xml:space="preserve"> </w:t>
      </w:r>
      <w:r>
        <w:t xml:space="preserve">“He set His face to go to Jerusalem”</w:t>
      </w:r>
      <w:r>
        <w:t xml:space="preserve"> </w:t>
      </w:r>
      <w:r>
        <w:t xml:space="preserve">— the New Testament’s most explicit echo of Isaiah 50:7 (</w:t>
      </w:r>
      <w:r>
        <w:t xml:space="preserve">“I set my face like flint”</w:t>
      </w:r>
      <w:r>
        <w:t xml:space="preserve">), confirming Jesus as the Servant who goes forward into suffering without retreating.</w:t>
      </w:r>
    </w:p>
    <w:p>
      <w:pPr>
        <w:numPr>
          <w:ilvl w:val="0"/>
          <w:numId w:val="1001"/>
        </w:numPr>
      </w:pPr>
      <w:r>
        <w:rPr>
          <w:b/>
          <w:bCs/>
        </w:rPr>
        <w:t xml:space="preserve">Hebrews 5:7–9</w:t>
      </w:r>
      <w:r>
        <w:t xml:space="preserve"> </w:t>
      </w:r>
      <w:r>
        <w:t xml:space="preserve">— Christ learned obedience through what He suffered; this is the theological unpacking of the Servant’s morning-by-morning hearing and obedience: the incarnate Son submitting to the discipline of the Father’s word even unto death.</w:t>
      </w:r>
    </w:p>
    <w:p>
      <w:pPr>
        <w:numPr>
          <w:ilvl w:val="0"/>
          <w:numId w:val="1001"/>
        </w:numPr>
      </w:pPr>
      <w:r>
        <w:rPr>
          <w:b/>
          <w:bCs/>
        </w:rPr>
        <w:t xml:space="preserve">Romans 8:31–34</w:t>
      </w:r>
      <w:r>
        <w:t xml:space="preserve"> </w:t>
      </w:r>
      <w:r>
        <w:t xml:space="preserve">—</w:t>
      </w:r>
      <w:r>
        <w:t xml:space="preserve"> </w:t>
      </w:r>
      <w:r>
        <w:t xml:space="preserve">“If God is for us, who can be against us? Who shall bring any charge against God’s elect?”</w:t>
      </w:r>
      <w:r>
        <w:t xml:space="preserve"> </w:t>
      </w:r>
      <w:r>
        <w:t xml:space="preserve">— Paul’s rhetoric directly mirrors Isaiah 50:8–9 (</w:t>
      </w:r>
      <w:r>
        <w:t xml:space="preserve">“He who vindicates me is near; who will contend with me?”</w:t>
      </w:r>
      <w:r>
        <w:t xml:space="preserve">), indicating that the Servant’s vindication is the ground of the believer’s assurance.</w:t>
      </w:r>
    </w:p>
    <w:p>
      <w:r>
        <w:pict>
          <v:rect style="width:0;height:1.5pt" o:hralign="center" o:hrstd="t" o:hr="t"/>
        </w:pict>
      </w:r>
    </w:p>
    <w:p>
      <w:pPr>
        <w:pStyle w:val="FirstParagraph"/>
      </w:pPr>
      <w:r>
        <w:rPr>
          <w:b/>
          <w:bCs/>
        </w:rPr>
        <w:t xml:space="preserve">Aim:</w:t>
      </w:r>
      <w:r>
        <w:t xml:space="preserve"> </w:t>
      </w:r>
      <w:r>
        <w:t xml:space="preserve">To confront the reader with the Servant’s pattern of dependent obedience and call them to abandon self-sufficient fire-kindling in favor of trusting the God who helps.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Two rhetorical questions: where is your mother’s certificate of divorce? To whom was it sold? — exile is due to Israel’s sins, not God’s failure</w:t>
            </w:r>
          </w:p>
        </w:tc>
        <w:tc>
          <w:tcPr/>
          <w:p>
            <w:pPr>
              <w:pStyle w:val="Compact"/>
            </w:pPr>
            <w:r>
              <w:t xml:space="preserve">The divorce and slavery imagery draws on the covenant — God is the husband and father; the questions are prosecutorial but restorative in intent</w:t>
            </w:r>
          </w:p>
        </w:tc>
      </w:tr>
      <w:tr>
        <w:tc>
          <w:tcPr/>
          <w:p>
            <w:pPr>
              <w:pStyle w:val="Compact"/>
            </w:pPr>
            <w:r>
              <w:t xml:space="preserve">2a</w:t>
            </w:r>
          </w:p>
        </w:tc>
        <w:tc>
          <w:tcPr/>
          <w:p>
            <w:pPr>
              <w:pStyle w:val="Compact"/>
            </w:pPr>
            <w:r>
              <w:t xml:space="preserve">Why was there no one when I came? Why no answer? — God arrived ready to redeem; Israel failed to respond</w:t>
            </w:r>
          </w:p>
        </w:tc>
        <w:tc>
          <w:tcPr/>
          <w:p>
            <w:pPr>
              <w:pStyle w:val="Compact"/>
            </w:pPr>
            <w:r>
              <w:t xml:space="preserve">The indictment shifts from God’s absence to Israel’s unresponsiveness</w:t>
            </w:r>
          </w:p>
        </w:tc>
      </w:tr>
      <w:tr>
        <w:tc>
          <w:tcPr/>
          <w:p>
            <w:pPr>
              <w:pStyle w:val="Compact"/>
            </w:pPr>
            <w:r>
              <w:t xml:space="preserve">2b–3</w:t>
            </w:r>
          </w:p>
        </w:tc>
        <w:tc>
          <w:tcPr/>
          <w:p>
            <w:pPr>
              <w:pStyle w:val="Compact"/>
            </w:pPr>
            <w:r>
              <w:t xml:space="preserve">God’s power is undiminished: He can rebuke the sea, make rivers a desert, clothe sky in darkness</w:t>
            </w:r>
          </w:p>
        </w:tc>
        <w:tc>
          <w:tcPr/>
          <w:p>
            <w:pPr>
              <w:pStyle w:val="Compact"/>
            </w:pPr>
            <w:r>
              <w:t xml:space="preserve">Three demonstrations of power drawn from the Exodus — the question is not God’s ability but Israel’s willingness</w:t>
            </w:r>
          </w:p>
        </w:tc>
      </w:tr>
      <w:tr>
        <w:tc>
          <w:tcPr/>
          <w:p>
            <w:pPr>
              <w:pStyle w:val="Compact"/>
            </w:pPr>
            <w:r>
              <w:t xml:space="preserve">4</w:t>
            </w:r>
          </w:p>
        </w:tc>
        <w:tc>
          <w:tcPr/>
          <w:p>
            <w:pPr>
              <w:pStyle w:val="Compact"/>
            </w:pPr>
            <w:r>
              <w:t xml:space="preserve">The Servant speaks: the LORD God has given Him an instructed tongue; morning by morning He opens my ear</w:t>
            </w:r>
          </w:p>
        </w:tc>
        <w:tc>
          <w:tcPr/>
          <w:p>
            <w:pPr>
              <w:pStyle w:val="Compact"/>
            </w:pPr>
            <w:r>
              <w:t xml:space="preserve">“Instructed tongue”</w:t>
            </w:r>
            <w:r>
              <w:t xml:space="preserve"> </w:t>
            </w:r>
            <w:r>
              <w:t xml:space="preserve">(Hebrew:</w:t>
            </w:r>
            <w:r>
              <w:t xml:space="preserve"> </w:t>
            </w:r>
            <w:r>
              <w:rPr>
                <w:i/>
                <w:iCs/>
              </w:rPr>
              <w:t xml:space="preserve">limmud</w:t>
            </w:r>
            <w:r>
              <w:t xml:space="preserve">, disciples’ tongue) — the Servant is first a learner before a speaker; morning discipline marks habitual, obedient reception</w:t>
            </w:r>
          </w:p>
        </w:tc>
      </w:tr>
      <w:tr>
        <w:tc>
          <w:tcPr/>
          <w:p>
            <w:pPr>
              <w:pStyle w:val="Compact"/>
            </w:pPr>
            <w:r>
              <w:t xml:space="preserve">4b</w:t>
            </w:r>
          </w:p>
        </w:tc>
        <w:tc>
          <w:tcPr/>
          <w:p>
            <w:pPr>
              <w:pStyle w:val="Compact"/>
            </w:pPr>
            <w:r>
              <w:t xml:space="preserve">To know how to sustain with a word him who is weary</w:t>
            </w:r>
          </w:p>
        </w:tc>
        <w:tc>
          <w:tcPr/>
          <w:p>
            <w:pPr>
              <w:pStyle w:val="Compact"/>
            </w:pPr>
            <w:r>
              <w:t xml:space="preserve">The purpose of the Servant’s instruction: not self-display but the care of the exhausted</w:t>
            </w:r>
          </w:p>
        </w:tc>
      </w:tr>
      <w:tr>
        <w:tc>
          <w:tcPr/>
          <w:p>
            <w:pPr>
              <w:pStyle w:val="Compact"/>
            </w:pPr>
            <w:r>
              <w:t xml:space="preserve">5</w:t>
            </w:r>
          </w:p>
        </w:tc>
        <w:tc>
          <w:tcPr/>
          <w:p>
            <w:pPr>
              <w:pStyle w:val="Compact"/>
            </w:pPr>
            <w:r>
              <w:t xml:space="preserve">The LORD God has opened my ear; I was not rebellious, I did not turn backward</w:t>
            </w:r>
          </w:p>
        </w:tc>
        <w:tc>
          <w:tcPr/>
          <w:p>
            <w:pPr>
              <w:pStyle w:val="Compact"/>
            </w:pPr>
            <w:r>
              <w:t xml:space="preserve">Direct contrast to Israel’s disobedience (vv. 1–3) — the Servant obeys where Israel rebels</w:t>
            </w:r>
          </w:p>
        </w:tc>
      </w:tr>
      <w:tr>
        <w:tc>
          <w:tcPr/>
          <w:p>
            <w:pPr>
              <w:pStyle w:val="Compact"/>
            </w:pPr>
            <w:r>
              <w:t xml:space="preserve">6</w:t>
            </w:r>
          </w:p>
        </w:tc>
        <w:tc>
          <w:tcPr/>
          <w:p>
            <w:pPr>
              <w:pStyle w:val="Compact"/>
            </w:pPr>
            <w:r>
              <w:t xml:space="preserve">I gave my back to those who strike, my cheeks to those who pull out the beard; face not hidden from disgrace</w:t>
            </w:r>
          </w:p>
        </w:tc>
        <w:tc>
          <w:tcPr/>
          <w:p>
            <w:pPr>
              <w:pStyle w:val="Compact"/>
            </w:pPr>
            <w:r>
              <w:t xml:space="preserve">Voluntary suffering — the Servant presents Himself rather than retreating; the three acts describe escalating public humiliation</w:t>
            </w:r>
          </w:p>
        </w:tc>
      </w:tr>
      <w:tr>
        <w:tc>
          <w:tcPr/>
          <w:p>
            <w:pPr>
              <w:pStyle w:val="Compact"/>
            </w:pPr>
            <w:r>
              <w:t xml:space="preserve">7</w:t>
            </w:r>
          </w:p>
        </w:tc>
        <w:tc>
          <w:tcPr/>
          <w:p>
            <w:pPr>
              <w:pStyle w:val="Compact"/>
            </w:pPr>
            <w:r>
              <w:t xml:space="preserve">The LORD God helps me; therefore I am not disgraced; I set my face like flint</w:t>
            </w:r>
          </w:p>
        </w:tc>
        <w:tc>
          <w:tcPr/>
          <w:p>
            <w:pPr>
              <w:pStyle w:val="Compact"/>
            </w:pPr>
            <w:r>
              <w:t xml:space="preserve">The ground of endurance is not stoic courage but divine help; flint imagery = resolved, unmovable, purposeful</w:t>
            </w:r>
          </w:p>
        </w:tc>
      </w:tr>
      <w:tr>
        <w:tc>
          <w:tcPr/>
          <w:p>
            <w:pPr>
              <w:pStyle w:val="Compact"/>
            </w:pPr>
            <w:r>
              <w:t xml:space="preserve">8</w:t>
            </w:r>
          </w:p>
        </w:tc>
        <w:tc>
          <w:tcPr/>
          <w:p>
            <w:pPr>
              <w:pStyle w:val="Compact"/>
            </w:pPr>
            <w:r>
              <w:t xml:space="preserve">He who vindicates me is near; who will contend with me? Who is my adversary? Let him come near</w:t>
            </w:r>
          </w:p>
        </w:tc>
        <w:tc>
          <w:tcPr/>
          <w:p>
            <w:pPr>
              <w:pStyle w:val="Compact"/>
            </w:pPr>
            <w:r>
              <w:t xml:space="preserve">Courtroom language: the Servant invites the full weight of accusation because He knows who stands beside Him as vindicator</w:t>
            </w:r>
          </w:p>
        </w:tc>
      </w:tr>
      <w:tr>
        <w:tc>
          <w:tcPr/>
          <w:p>
            <w:pPr>
              <w:pStyle w:val="Compact"/>
            </w:pPr>
            <w:r>
              <w:t xml:space="preserve">9</w:t>
            </w:r>
          </w:p>
        </w:tc>
        <w:tc>
          <w:tcPr/>
          <w:p>
            <w:pPr>
              <w:pStyle w:val="Compact"/>
            </w:pPr>
            <w:r>
              <w:t xml:space="preserve">Behold, the LORD God helps me; who will declare me guilty? All will wear out like a garment; the moth will eat them</w:t>
            </w:r>
          </w:p>
        </w:tc>
        <w:tc>
          <w:tcPr/>
          <w:p>
            <w:pPr>
              <w:pStyle w:val="Compact"/>
            </w:pPr>
            <w:r>
              <w:t xml:space="preserve">The Servant’s adversaries will disintegrate; the LORD’s help is permanent; another echo of the moth/garment imagery (cf. 51:8)</w:t>
            </w:r>
          </w:p>
        </w:tc>
      </w:tr>
      <w:tr>
        <w:tc>
          <w:tcPr/>
          <w:p>
            <w:pPr>
              <w:pStyle w:val="Compact"/>
            </w:pPr>
            <w:r>
              <w:t xml:space="preserve">10</w:t>
            </w:r>
          </w:p>
        </w:tc>
        <w:tc>
          <w:tcPr/>
          <w:p>
            <w:pPr>
              <w:pStyle w:val="Compact"/>
            </w:pPr>
            <w:r>
              <w:t xml:space="preserve">Who among you fears the LORD and obeys the voice of His servant? Let him who walks in darkness and has no light trust in the name of the LORD and rely on his God</w:t>
            </w:r>
          </w:p>
        </w:tc>
        <w:tc>
          <w:tcPr/>
          <w:p>
            <w:pPr>
              <w:pStyle w:val="Compact"/>
            </w:pPr>
            <w:r>
              <w:t xml:space="preserve">First address: to the godly who walk in genuine darkness — not willful darkness but the darkness of trial and confusion; the call is to trust-in-the-name, not self-explanation</w:t>
            </w:r>
          </w:p>
        </w:tc>
      </w:tr>
      <w:tr>
        <w:tc>
          <w:tcPr/>
          <w:p>
            <w:pPr>
              <w:pStyle w:val="Compact"/>
            </w:pPr>
            <w:r>
              <w:t xml:space="preserve">11</w:t>
            </w:r>
          </w:p>
        </w:tc>
        <w:tc>
          <w:tcPr/>
          <w:p>
            <w:pPr>
              <w:pStyle w:val="Compact"/>
            </w:pPr>
            <w:r>
              <w:t xml:space="preserve">Behold, all you who kindle a fire, who equip yourselves with burning torches: walk by your own light, and by the torches you have kindled — this you have from my hand: you shall lie down in torment</w:t>
            </w:r>
          </w:p>
        </w:tc>
        <w:tc>
          <w:tcPr/>
          <w:p>
            <w:pPr>
              <w:pStyle w:val="Compact"/>
            </w:pPr>
            <w:r>
              <w:t xml:space="preserve">Second address: to the self-sufficient who refuse God’s light and forge their own — the fire they kindle will become their torment; this is a solemn warning, not a threat made in anger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God’s Defense: The Failure Is Israel’s, Not Mine</w:t>
            </w:r>
          </w:p>
        </w:tc>
      </w:tr>
      <w:tr>
        <w:tc>
          <w:tcPr/>
          <w:p>
            <w:pPr>
              <w:pStyle w:val="Compact"/>
            </w:pPr>
            <w:r>
              <w:t xml:space="preserve">2</w:t>
            </w:r>
          </w:p>
        </w:tc>
        <w:tc>
          <w:tcPr/>
          <w:p>
            <w:pPr>
              <w:pStyle w:val="Compact"/>
            </w:pPr>
            <w:r>
              <w:t xml:space="preserve">4–6</w:t>
            </w:r>
          </w:p>
        </w:tc>
        <w:tc>
          <w:tcPr/>
          <w:p>
            <w:pPr>
              <w:pStyle w:val="Compact"/>
            </w:pPr>
            <w:r>
              <w:t xml:space="preserve">The Servant Speaks: Hearing, Obeying, Suffering</w:t>
            </w:r>
          </w:p>
        </w:tc>
      </w:tr>
      <w:tr>
        <w:tc>
          <w:tcPr/>
          <w:p>
            <w:pPr>
              <w:pStyle w:val="Compact"/>
            </w:pPr>
            <w:r>
              <w:t xml:space="preserve">3</w:t>
            </w:r>
          </w:p>
        </w:tc>
        <w:tc>
          <w:tcPr/>
          <w:p>
            <w:pPr>
              <w:pStyle w:val="Compact"/>
            </w:pPr>
            <w:r>
              <w:t xml:space="preserve">7–9</w:t>
            </w:r>
          </w:p>
        </w:tc>
        <w:tc>
          <w:tcPr/>
          <w:p>
            <w:pPr>
              <w:pStyle w:val="Compact"/>
            </w:pPr>
            <w:r>
              <w:t xml:space="preserve">The Servant’s Confidence: The LORD God Helps Me</w:t>
            </w:r>
          </w:p>
        </w:tc>
      </w:tr>
      <w:tr>
        <w:tc>
          <w:tcPr/>
          <w:p>
            <w:pPr>
              <w:pStyle w:val="Compact"/>
            </w:pPr>
            <w:r>
              <w:t xml:space="preserve">4</w:t>
            </w:r>
          </w:p>
        </w:tc>
        <w:tc>
          <w:tcPr/>
          <w:p>
            <w:pPr>
              <w:pStyle w:val="Compact"/>
            </w:pPr>
            <w:r>
              <w:t xml:space="preserve">10–11</w:t>
            </w:r>
          </w:p>
        </w:tc>
        <w:tc>
          <w:tcPr/>
          <w:p>
            <w:pPr>
              <w:pStyle w:val="Compact"/>
            </w:pPr>
            <w:r>
              <w:t xml:space="preserve">The Reader’s Choice: Trust in Darkness or Kindle Your Own Fire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obedient Servant endures suffering by divine help, calling the fearful to trust and warning the self-sufficient to repent.</w:t>
      </w:r>
    </w:p>
    <w:p>
      <w:pPr>
        <w:pStyle w:val="BodyText"/>
      </w:pPr>
      <w:r>
        <w:rPr>
          <w:b/>
          <w:bCs/>
        </w:rPr>
        <w:t xml:space="preserve">Primary Claim:</w:t>
      </w:r>
      <w:r>
        <w:t xml:space="preserve"> </w:t>
      </w:r>
      <w:r>
        <w:t xml:space="preserve">God is placing before every reader who walks in darkness a mirror in the Servant — who heard, obeyed, suffered, and was not ashamed — and demanding the same surrender: stop kindling your own fire and trust the God who helps.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Servant’s posture begins not with speaking but with listening —</w:t>
      </w:r>
      <w:r>
        <w:t xml:space="preserve"> </w:t>
      </w:r>
      <w:r>
        <w:t xml:space="preserve">“morning by morning He opens my ear”</w:t>
      </w:r>
      <w:r>
        <w:t xml:space="preserve"> </w:t>
      </w:r>
      <w:r>
        <w:t xml:space="preserve">(v. 4). Many Christians are far more eager to speak and act for God than to be shaped daily by His word. The application is concrete: before you try to sustain others with words, ask whether you are yourself submitting to regular, habitual, unhurried hearing. The Servant’s instructed tongue is the</w:t>
      </w:r>
      <w:r>
        <w:t xml:space="preserve"> </w:t>
      </w:r>
      <w:r>
        <w:rPr>
          <w:i/>
          <w:iCs/>
        </w:rPr>
        <w:t xml:space="preserve">result</w:t>
      </w:r>
      <w:r>
        <w:t xml:space="preserve"> </w:t>
      </w:r>
      <w:r>
        <w:t xml:space="preserve">of an opened ear, not the substitute for it.</w:t>
      </w:r>
      <w:r>
        <w:t xml:space="preserve"> </w:t>
      </w:r>
      <w:r>
        <w:rPr>
          <w:i/>
          <w:iCs/>
        </w:rPr>
        <w:t xml:space="preserve">(Mind/Belief — reframe the source of spiritual usefulness)</w:t>
      </w:r>
    </w:p>
    <w:p>
      <w:pPr>
        <w:pStyle w:val="BodyText"/>
      </w:pPr>
      <w:r>
        <w:rPr>
          <w:b/>
          <w:bCs/>
        </w:rPr>
        <w:t xml:space="preserve">2.</w:t>
      </w:r>
      <w:r>
        <w:t xml:space="preserve"> </w:t>
      </w:r>
      <w:r>
        <w:t xml:space="preserve">Isaiah 50:7 defines the Servant’s endurance:</w:t>
      </w:r>
      <w:r>
        <w:t xml:space="preserve"> </w:t>
      </w:r>
      <w:r>
        <w:t xml:space="preserve">“The LORD God helps me; therefore I am not disgraced.”</w:t>
      </w:r>
      <w:r>
        <w:t xml:space="preserve"> </w:t>
      </w:r>
      <w:r>
        <w:t xml:space="preserve">The ground is not personal strength, doctrinal clarity, or social support — it is the proximity of the One who vindicates. When suffering comes — when your face is exposed to disgrace, when you are mocked for your faith, when the path forward is humiliating — the question the Spirit is pressing is not</w:t>
      </w:r>
      <w:r>
        <w:t xml:space="preserve"> </w:t>
      </w:r>
      <w:r>
        <w:t xml:space="preserve">“can you bear this?”</w:t>
      </w:r>
      <w:r>
        <w:t xml:space="preserve"> </w:t>
      </w:r>
      <w:r>
        <w:t xml:space="preserve">but</w:t>
      </w:r>
      <w:r>
        <w:t xml:space="preserve"> </w:t>
      </w:r>
      <w:r>
        <w:t xml:space="preserve">“do you believe He is near?”</w:t>
      </w:r>
      <w:r>
        <w:t xml:space="preserve"> </w:t>
      </w:r>
      <w:r>
        <w:t xml:space="preserve">Worship is the answer: the specific affection this passage calls for is confidence-in-nearness, not relief from suffering.</w:t>
      </w:r>
      <w:r>
        <w:t xml:space="preserve"> </w:t>
      </w:r>
      <w:r>
        <w:rPr>
          <w:i/>
          <w:iCs/>
        </w:rPr>
        <w:t xml:space="preserve">(Affections/Worship — cultivate confidence in divine nearness under suffering)</w:t>
      </w:r>
    </w:p>
    <w:p>
      <w:pPr>
        <w:pStyle w:val="BodyText"/>
      </w:pPr>
      <w:r>
        <w:rPr>
          <w:b/>
          <w:bCs/>
        </w:rPr>
        <w:t xml:space="preserve">3.</w:t>
      </w:r>
      <w:r>
        <w:t xml:space="preserve"> </w:t>
      </w:r>
      <w:r>
        <w:t xml:space="preserve">Verse 11’s warning must land with full weight: every strategy for managing life’s darkness that does not begin with trusting in the name of the LORD is fire-kindling. This includes competence, reputation, financial security, relational networks, and theological self-confidence. These may be gifts of God; they become torches-we-kindle the moment we trust them to guide us through what only God can illuminate. Identify the specific fire you have been kindling — the resource or strategy you trust more than you trust God’s word — and confess it for what it is.</w:t>
      </w:r>
      <w:r>
        <w:t xml:space="preserve"> </w:t>
      </w:r>
      <w:r>
        <w:rPr>
          <w:i/>
          <w:iCs/>
        </w:rPr>
        <w:t xml:space="preserve">(Will/Behavior — identify and renounce a specific idolatrous coping strategy)</w:t>
      </w:r>
    </w:p>
    <w:p>
      <w:pPr>
        <w:pStyle w:val="BodyText"/>
      </w:pPr>
      <w:r>
        <w:rPr>
          <w:b/>
          <w:bCs/>
        </w:rPr>
        <w:t xml:space="preserve">4.</w:t>
      </w:r>
      <w:r>
        <w:t xml:space="preserve"> </w:t>
      </w:r>
      <w:r>
        <w:t xml:space="preserve">The bifurcation of verses 10–11 dismantles a common false assumption: that the person walking in darkness is necessarily the person who has wandered from God. Verse 10 addresses the one who</w:t>
      </w:r>
      <w:r>
        <w:t xml:space="preserve"> </w:t>
      </w:r>
      <w:r>
        <w:rPr>
          <w:i/>
          <w:iCs/>
        </w:rPr>
        <w:t xml:space="preserve">fears the LORD</w:t>
      </w:r>
      <w:r>
        <w:t xml:space="preserve"> </w:t>
      </w:r>
      <w:r>
        <w:t xml:space="preserve">and</w:t>
      </w:r>
      <w:r>
        <w:t xml:space="preserve"> </w:t>
      </w:r>
      <w:r>
        <w:rPr>
          <w:i/>
          <w:iCs/>
        </w:rPr>
        <w:t xml:space="preserve">obeys His servant</w:t>
      </w:r>
      <w:r>
        <w:t xml:space="preserve"> </w:t>
      </w:r>
      <w:r>
        <w:t xml:space="preserve">and yet walks in darkness with no light. Genuine faith does not guarantee clarity, comfort, or resolution of darkness. God is retraining the reader to locate security not in felt light but in His name — in who He has revealed Himself to be — regardless of what is or is not felt. The belief to be renewed is: darkness experienced is not the same as God absent.</w:t>
      </w:r>
      <w:r>
        <w:t xml:space="preserve"> </w:t>
      </w:r>
      <w:r>
        <w:rPr>
          <w:i/>
          <w:iCs/>
        </w:rPr>
        <w:t xml:space="preserve">(Mind/Belief — correct a false equation between felt darkness and divine abandonment)</w:t>
      </w:r>
    </w:p>
    <w:p>
      <w:pPr>
        <w:pStyle w:val="BodyText"/>
      </w:pPr>
      <w:r>
        <w:rPr>
          <w:b/>
          <w:bCs/>
        </w:rPr>
        <w:t xml:space="preserve">5.</w:t>
      </w:r>
      <w:r>
        <w:t xml:space="preserve"> </w:t>
      </w:r>
      <w:r>
        <w:t xml:space="preserve">The passage frames the Servant’s suffering as explicitly voluntary and explicitly purposeful:</w:t>
      </w:r>
      <w:r>
        <w:t xml:space="preserve"> </w:t>
      </w:r>
      <w:r>
        <w:t xml:space="preserve">“I gave my back… I did not hide my face”</w:t>
      </w:r>
      <w:r>
        <w:t xml:space="preserve"> </w:t>
      </w:r>
      <w:r>
        <w:t xml:space="preserve">(v. 6). He is not overtaken — He steps forward. Christians facing costly obedience — speaking truth that will cost a relationship, maintaining integrity that will cost an opportunity, persevering in service that is unrewarded — are not in new territory. They are following the Servant’s own path. The will-shaping application is this: where you have been calculating the cost of obedience and retreating, set your face like flint. The LORD God helps you too.</w:t>
      </w:r>
      <w:r>
        <w:t xml:space="preserve"> </w:t>
      </w:r>
      <w:r>
        <w:rPr>
          <w:i/>
          <w:iCs/>
        </w:rPr>
        <w:t xml:space="preserve">(Will/Behavior — resolve toward costly obedience in a specific context)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50 teaches that God’s redemptive faithfulness is not thwarted by human failure — the exile of Israel was never evidence of God’s inability or abandonment, but of Israel’s own rebellion (vv. 1–3). More significantly, the chapter reveals the pattern by which God accomplishes His redemptive purpose: through a Servant who is both divinely commissioned and humanly obedient, who receives the word before He bears it, and who absorbs suffering rather than avoiding it. The Servant’s confidence in verses 7–9 establishes a foundational theological principle: divine vindication is not uncertain — it is near, it is decisive, and it reduces every human accuser to eventual dissolution. The chapter closes by anchoring all human hope — including hope in darkness — not in experiential illumination but in the character of God as declared in His name.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50 is a crucial passage for the Reformed understanding of Christ as the fully obedient covenant Servant whose active obedience (vv. 4–6) is as theologically significant as His passive suffering. His obedience is not incidental — it is the substance of His qualification: He hears, He does not rebel, He does not turn back, He offers Himself. This is the active obedience of the Mediator upon which the passive endurance of the cross rests. Furthermore, the courtroom language of verses 8–9 —</w:t>
      </w:r>
      <w:r>
        <w:t xml:space="preserve"> </w:t>
      </w:r>
      <w:r>
        <w:t xml:space="preserve">“He who vindicates me is near; who will contend with me?”</w:t>
      </w:r>
      <w:r>
        <w:t xml:space="preserve"> </w:t>
      </w:r>
      <w:r>
        <w:t xml:space="preserve">— is the direct Old Testament root of Paul’s forensic declaration in Romans 8:31–34, establishing that the believer’s justification is grounded in the Servant’s own vindication. The passage also reinforces the Reformed doctrine of total depravity in its diagnosis: apart from the Servant’s mediation, Israel (and all humanity) kindles its own fires and lies down in torment — there is no middle path between dependent trust and self-destructive self-sufficiency.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the Servant who heard every morning, obeyed at every cost, and set His face like flint toward your redemption — and the God who helped Him is the same God who stands ready to help you. You are either trusting that name in your darkness, or you are kindling your own fire. The fire you kindle will not guide you home. Stop building it and trust the One who helps.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verses 4–9 as a model for prophetic ministry without grounding it in Christ.</w:t>
      </w:r>
      <w:r>
        <w:t xml:space="preserve"> </w:t>
      </w:r>
      <w:r>
        <w:t xml:space="preserve">This is the Clowney anti-moralism warning at full volume. The Servant’s posture is available as a pattern for believers only because Christ first fulfilled it. To preach</w:t>
      </w:r>
      <w:r>
        <w:t xml:space="preserve"> </w:t>
      </w:r>
      <w:r>
        <w:t xml:space="preserve">“be like the Servant — hear daily, obey at cost, endure suffering without retreating”</w:t>
      </w:r>
      <w:r>
        <w:t xml:space="preserve"> </w:t>
      </w:r>
      <w:r>
        <w:t xml:space="preserve">without establishing that</w:t>
      </w:r>
      <w:r>
        <w:t xml:space="preserve"> </w:t>
      </w:r>
      <w:r>
        <w:rPr>
          <w:i/>
          <w:iCs/>
        </w:rPr>
        <w:t xml:space="preserve">Jesus is this Servant</w:t>
      </w:r>
      <w:r>
        <w:t xml:space="preserve"> </w:t>
      </w:r>
      <w:r>
        <w:t xml:space="preserve">and that His obedience is the ground of your confidence reduces the passage to a heroic call to spiritual discipline. The pattern becomes accessible only through union with the One who perfectly embodied it.</w:t>
      </w:r>
    </w:p>
    <w:p>
      <w:pPr>
        <w:numPr>
          <w:ilvl w:val="0"/>
          <w:numId w:val="1002"/>
        </w:numPr>
      </w:pPr>
      <w:r>
        <w:rPr>
          <w:b/>
          <w:bCs/>
        </w:rPr>
        <w:t xml:space="preserve">Skipping or softening the warning of verse 11.</w:t>
      </w:r>
      <w:r>
        <w:t xml:space="preserve"> </w:t>
      </w:r>
      <w:r>
        <w:t xml:space="preserve">The closing warning is among the most solemn in the Servant Songs — those who kindle their own fires will lie down in torment, and this is from God’s hand. Preachers who are uncomfortable with divine judgment tend to treat verse 11 as merely a gentle contrast to verse 10’s invitation. It is not. It is a warning of final consequence. Omitting its weight removes the urgency from verse 10’s call and leaves the invitation without its stakes.</w:t>
      </w:r>
    </w:p>
    <w:p>
      <w:pPr>
        <w:numPr>
          <w:ilvl w:val="0"/>
          <w:numId w:val="1002"/>
        </w:numPr>
      </w:pPr>
      <w:r>
        <w:rPr>
          <w:b/>
          <w:bCs/>
        </w:rPr>
        <w:t xml:space="preserve">Reading verses 1–3 as the dominant concern of the chapter.</w:t>
      </w:r>
      <w:r>
        <w:t xml:space="preserve"> </w:t>
      </w:r>
      <w:r>
        <w:t xml:space="preserve">God’s defense of His faithfulness in verses 1–3 is not the chapter’s center — it is the prologue that makes the Servant’s speech meaningful. The Servant’s obedience in verses 4–9 is the theological payload, and the call of verses 10–11 is the applicational landing zone. Spending the bulk of exposition on verses 1–3 (especially on the cultural background of divorce certificates and debt slavery) leaves insufficient space for the Servant’s own testimony and the reader’s demanded response.</w:t>
      </w:r>
    </w:p>
    <w:p>
      <w:pPr>
        <w:numPr>
          <w:ilvl w:val="0"/>
          <w:numId w:val="1002"/>
        </w:numPr>
      </w:pPr>
      <w:r>
        <w:rPr>
          <w:b/>
          <w:bCs/>
        </w:rPr>
        <w:t xml:space="preserve">Conflating</w:t>
      </w:r>
      <w:r>
        <w:rPr>
          <w:b/>
          <w:bCs/>
        </w:rPr>
        <w:t xml:space="preserve"> </w:t>
      </w:r>
      <w:r>
        <w:rPr>
          <w:b/>
          <w:bCs/>
        </w:rPr>
        <w:t xml:space="preserve">“walking in darkness”</w:t>
      </w:r>
      <w:r>
        <w:rPr>
          <w:b/>
          <w:bCs/>
        </w:rPr>
        <w:t xml:space="preserve"> </w:t>
      </w:r>
      <w:r>
        <w:rPr>
          <w:b/>
          <w:bCs/>
        </w:rPr>
        <w:t xml:space="preserve">(v. 10) with spiritual backsliding.</w:t>
      </w:r>
      <w:r>
        <w:t xml:space="preserve"> </w:t>
      </w:r>
      <w:r>
        <w:t xml:space="preserve">The person addressed in verse 10 fears the LORD and obeys His servant — they are among the godly. Their darkness is the darkness of trial, confusion, and apparent abandonment, not the darkness of willful sin. Preaching this verse as though it addresses the spiritually wayward misreads the text and also fails the genuinely faithful person who is suffering without understanding why. The pastoral application is to the suffering believer, not the wandering one.</w:t>
      </w:r>
    </w:p>
    <w:p>
      <w:pPr>
        <w:numPr>
          <w:ilvl w:val="0"/>
          <w:numId w:val="1002"/>
        </w:numPr>
      </w:pPr>
      <w:r>
        <w:rPr>
          <w:b/>
          <w:bCs/>
        </w:rPr>
        <w:t xml:space="preserve">Divorcing Isaiah 50 from the Servant Song sequence.</w:t>
      </w:r>
      <w:r>
        <w:t xml:space="preserve"> </w:t>
      </w:r>
      <w:r>
        <w:t xml:space="preserve">Isaiah 50 should be read in connection with Isaiah 42, 49, and especially 53 — the Servant’s obedience here (vv. 4–6) reaches its redemptive climax in Isaiah 53. Preaching chapter 50 without at least gesturing toward chapter 53 leaves the Servant’s suffering purposeless. The suffering of chapter 50 is not yet redemptive in itself — it points forward to the atoning suffering of chapter 53. Make this trajectory visible in the exposition.</w:t>
      </w:r>
    </w:p>
    <w:p>
      <w:pPr>
        <w:numPr>
          <w:ilvl w:val="0"/>
          <w:numId w:val="1002"/>
        </w:numPr>
      </w:pPr>
      <w:r>
        <w:rPr>
          <w:b/>
          <w:bCs/>
        </w:rPr>
        <w:t xml:space="preserve">Applying</w:t>
      </w:r>
      <w:r>
        <w:rPr>
          <w:b/>
          <w:bCs/>
        </w:rPr>
        <w:t xml:space="preserve"> </w:t>
      </w:r>
      <w:r>
        <w:rPr>
          <w:b/>
          <w:bCs/>
        </w:rPr>
        <w:t xml:space="preserve">“set your face like flint”</w:t>
      </w:r>
      <w:r>
        <w:rPr>
          <w:b/>
          <w:bCs/>
        </w:rPr>
        <w:t xml:space="preserve"> </w:t>
      </w:r>
      <w:r>
        <w:rPr>
          <w:b/>
          <w:bCs/>
        </w:rPr>
        <w:t xml:space="preserve">as a motivational call to willpower.</w:t>
      </w:r>
      <w:r>
        <w:t xml:space="preserve"> </w:t>
      </w:r>
      <w:r>
        <w:t xml:space="preserve">The flint-imagery of verse 7 is not Stoic resolve — it is resolve</w:t>
      </w:r>
      <w:r>
        <w:t xml:space="preserve"> </w:t>
      </w:r>
      <w:r>
        <w:rPr>
          <w:i/>
          <w:iCs/>
        </w:rPr>
        <w:t xml:space="preserve">grounded in the nearness of the One who vindicates</w:t>
      </w:r>
      <w:r>
        <w:t xml:space="preserve"> </w:t>
      </w:r>
      <w:r>
        <w:t xml:space="preserve">(v. 8). The Servant’s determination is not self-generated courage; it is faith-generated endurance. To preach</w:t>
      </w:r>
      <w:r>
        <w:t xml:space="preserve"> </w:t>
      </w:r>
      <w:r>
        <w:t xml:space="preserve">“set your face like flint — be resolute!”</w:t>
      </w:r>
      <w:r>
        <w:t xml:space="preserve"> </w:t>
      </w:r>
      <w:r>
        <w:t xml:space="preserve">without anchoring that resolution in the prior clause (</w:t>
      </w:r>
      <w:r>
        <w:t xml:space="preserve">“the LORD God helps me; therefore I am not disgraced”</w:t>
      </w:r>
      <w:r>
        <w:t xml:space="preserve">) produces a sermon that sounds Reformed but functions as moralistic self-help.</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2026-07-14T21:05:46Z</dcterms:created>
  <dcterms:modified xsi:type="dcterms:W3CDTF">2026-07-14T21:05:46Z</dcterms:modified>
</cp:coreProperties>
</file>

<file path=docProps/custom.xml><?xml version="1.0" encoding="utf-8"?>
<Properties xmlns="http://schemas.openxmlformats.org/officeDocument/2006/custom-properties" xmlns:vt="http://schemas.openxmlformats.org/officeDocument/2006/docPropsVTypes"/>
</file>